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C0" w:rsidRPr="00A95891" w:rsidRDefault="00657CC0" w:rsidP="003B55CF">
      <w:pPr>
        <w:pStyle w:val="Default"/>
        <w:rPr>
          <w:b/>
          <w:bCs/>
          <w:sz w:val="28"/>
          <w:szCs w:val="28"/>
        </w:rPr>
      </w:pPr>
      <w:r w:rsidRPr="00A95891">
        <w:rPr>
          <w:b/>
          <w:bCs/>
          <w:sz w:val="28"/>
          <w:szCs w:val="28"/>
        </w:rPr>
        <w:t>TOWN OF SPRINGDALE</w:t>
      </w:r>
      <w:r w:rsidR="008D4B50" w:rsidRPr="00A95891">
        <w:rPr>
          <w:b/>
          <w:bCs/>
          <w:sz w:val="28"/>
          <w:szCs w:val="28"/>
        </w:rPr>
        <w:t>, DANE COUNTY, WI,</w:t>
      </w:r>
      <w:r w:rsidRPr="00A95891">
        <w:rPr>
          <w:b/>
          <w:bCs/>
          <w:sz w:val="28"/>
          <w:szCs w:val="28"/>
        </w:rPr>
        <w:t xml:space="preserve"> </w:t>
      </w:r>
      <w:r w:rsidR="003B55CF" w:rsidRPr="00A95891">
        <w:rPr>
          <w:b/>
          <w:bCs/>
          <w:sz w:val="28"/>
          <w:szCs w:val="28"/>
        </w:rPr>
        <w:t xml:space="preserve">NOTICE OF </w:t>
      </w:r>
      <w:r w:rsidR="00A32624" w:rsidRPr="00A95891">
        <w:rPr>
          <w:b/>
          <w:bCs/>
          <w:sz w:val="28"/>
          <w:szCs w:val="28"/>
        </w:rPr>
        <w:t>NOV.</w:t>
      </w:r>
      <w:r w:rsidR="00B50D74" w:rsidRPr="00A95891">
        <w:rPr>
          <w:b/>
          <w:bCs/>
          <w:sz w:val="28"/>
          <w:szCs w:val="28"/>
        </w:rPr>
        <w:t xml:space="preserve"> 15, 2018,</w:t>
      </w:r>
    </w:p>
    <w:p w:rsidR="00B50D74" w:rsidRPr="00A95891" w:rsidRDefault="003B55CF" w:rsidP="00597D7D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 w:rsidRPr="00A95891">
        <w:rPr>
          <w:b/>
          <w:bCs/>
          <w:sz w:val="28"/>
          <w:szCs w:val="28"/>
        </w:rPr>
        <w:t>PUBLIC BUDGET HEARING</w:t>
      </w:r>
      <w:r w:rsidR="00657CC0" w:rsidRPr="00A95891">
        <w:rPr>
          <w:b/>
          <w:bCs/>
          <w:sz w:val="28"/>
          <w:szCs w:val="28"/>
        </w:rPr>
        <w:t xml:space="preserve">, </w:t>
      </w:r>
    </w:p>
    <w:p w:rsidR="00B50D74" w:rsidRPr="00A95891" w:rsidRDefault="00657CC0" w:rsidP="00597D7D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 w:rsidRPr="00A95891">
        <w:rPr>
          <w:b/>
          <w:bCs/>
          <w:sz w:val="28"/>
          <w:szCs w:val="28"/>
        </w:rPr>
        <w:t xml:space="preserve">ELECTORS MEETING, AND </w:t>
      </w:r>
    </w:p>
    <w:p w:rsidR="00657CC0" w:rsidRPr="00A95891" w:rsidRDefault="00657CC0" w:rsidP="00597D7D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 w:rsidRPr="00A95891">
        <w:rPr>
          <w:b/>
          <w:bCs/>
          <w:sz w:val="28"/>
          <w:szCs w:val="28"/>
        </w:rPr>
        <w:t>TOWN BOARD MEETING</w:t>
      </w:r>
    </w:p>
    <w:p w:rsidR="009039BE" w:rsidRPr="00225178" w:rsidRDefault="008D4B50" w:rsidP="003B55CF">
      <w:pPr>
        <w:pStyle w:val="Default"/>
        <w:rPr>
          <w:bCs/>
          <w:sz w:val="23"/>
          <w:szCs w:val="23"/>
        </w:rPr>
      </w:pPr>
      <w:r>
        <w:rPr>
          <w:sz w:val="20"/>
          <w:szCs w:val="20"/>
        </w:rPr>
        <w:t>Meeting held</w:t>
      </w:r>
      <w:r w:rsidR="009039BE" w:rsidRPr="00225178">
        <w:rPr>
          <w:sz w:val="20"/>
          <w:szCs w:val="20"/>
        </w:rPr>
        <w:t xml:space="preserve"> at the Springdale Town Hall, 2379 Town Hall</w:t>
      </w:r>
      <w:r w:rsidR="009039BE">
        <w:rPr>
          <w:sz w:val="20"/>
          <w:szCs w:val="20"/>
        </w:rPr>
        <w:t xml:space="preserve"> Rd, Mt. Horeb, WI</w:t>
      </w:r>
      <w:r w:rsidR="00225178">
        <w:rPr>
          <w:sz w:val="20"/>
          <w:szCs w:val="20"/>
        </w:rPr>
        <w:t>.</w:t>
      </w:r>
      <w:r w:rsidR="009039BE">
        <w:rPr>
          <w:b/>
          <w:bCs/>
          <w:sz w:val="23"/>
          <w:szCs w:val="23"/>
        </w:rPr>
        <w:t xml:space="preserve"> </w:t>
      </w:r>
      <w:r w:rsidR="00225178">
        <w:rPr>
          <w:b/>
          <w:bCs/>
          <w:sz w:val="23"/>
          <w:szCs w:val="23"/>
        </w:rPr>
        <w:t xml:space="preserve"> </w:t>
      </w:r>
      <w:r w:rsidR="00225178" w:rsidRPr="00225178">
        <w:rPr>
          <w:bCs/>
          <w:sz w:val="23"/>
          <w:szCs w:val="23"/>
        </w:rPr>
        <w:t>Town Hall is accessible to all.</w:t>
      </w:r>
    </w:p>
    <w:p w:rsidR="003B55CF" w:rsidRDefault="003B55CF" w:rsidP="0022517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Notice is hereby gi</w:t>
      </w:r>
      <w:r w:rsidR="00420527">
        <w:rPr>
          <w:sz w:val="20"/>
          <w:szCs w:val="20"/>
        </w:rPr>
        <w:t xml:space="preserve">ven that on </w:t>
      </w:r>
      <w:r w:rsidR="007D7BE3">
        <w:rPr>
          <w:sz w:val="20"/>
          <w:szCs w:val="20"/>
        </w:rPr>
        <w:t>Thursday</w:t>
      </w:r>
      <w:r w:rsidR="00A32624">
        <w:rPr>
          <w:sz w:val="20"/>
          <w:szCs w:val="20"/>
        </w:rPr>
        <w:t>, Nov</w:t>
      </w:r>
      <w:r w:rsidR="00420527">
        <w:rPr>
          <w:sz w:val="20"/>
          <w:szCs w:val="20"/>
        </w:rPr>
        <w:t>. 15</w:t>
      </w:r>
      <w:r w:rsidR="007D7BE3">
        <w:rPr>
          <w:sz w:val="20"/>
          <w:szCs w:val="20"/>
        </w:rPr>
        <w:t>, 2018</w:t>
      </w:r>
      <w:r>
        <w:rPr>
          <w:sz w:val="20"/>
          <w:szCs w:val="20"/>
        </w:rPr>
        <w:t xml:space="preserve">, at 7 PM, at the Springdale Town Hall, 2379 Town Hall Rd, Mt. Horeb, WI a </w:t>
      </w:r>
      <w:r w:rsidRPr="00657CC0">
        <w:rPr>
          <w:b/>
          <w:sz w:val="20"/>
          <w:szCs w:val="20"/>
        </w:rPr>
        <w:t>PUB</w:t>
      </w:r>
      <w:r w:rsidR="00420527" w:rsidRPr="00657CC0">
        <w:rPr>
          <w:b/>
          <w:sz w:val="20"/>
          <w:szCs w:val="20"/>
        </w:rPr>
        <w:t>LIC HEARING</w:t>
      </w:r>
      <w:r w:rsidR="00420527">
        <w:rPr>
          <w:sz w:val="20"/>
          <w:szCs w:val="20"/>
        </w:rPr>
        <w:t xml:space="preserve"> on the proposed 2019</w:t>
      </w:r>
      <w:r>
        <w:rPr>
          <w:sz w:val="20"/>
          <w:szCs w:val="20"/>
        </w:rPr>
        <w:t xml:space="preserve"> BUDGET of the Town of Springdale will be held. A copy of the budget summary shall be posted in the three established locations in the Town, (Riley Tavern, the Town Hall, and the Mt. Vernon Family Auto) and a copy shall be available from the Town of Springdale Clerk upo</w:t>
      </w:r>
      <w:r w:rsidR="00420527">
        <w:rPr>
          <w:sz w:val="20"/>
          <w:szCs w:val="20"/>
        </w:rPr>
        <w:t>n request effective October 29, 2018</w:t>
      </w:r>
      <w:r>
        <w:rPr>
          <w:sz w:val="20"/>
          <w:szCs w:val="20"/>
        </w:rPr>
        <w:t xml:space="preserve">. Summary at bottom of this notice. </w:t>
      </w:r>
    </w:p>
    <w:p w:rsidR="003B55CF" w:rsidRPr="00B15D81" w:rsidRDefault="003B55CF" w:rsidP="00DA67F9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B15D81">
        <w:rPr>
          <w:b/>
          <w:bCs/>
          <w:sz w:val="20"/>
          <w:szCs w:val="20"/>
        </w:rPr>
        <w:t xml:space="preserve">SPECIAL TOWN MEETING OF SPRINGDALE ELECTORS </w:t>
      </w:r>
      <w:r w:rsidRPr="00B15D81">
        <w:rPr>
          <w:sz w:val="20"/>
          <w:szCs w:val="20"/>
        </w:rPr>
        <w:t>The Town Elector meeting will be held immediately following the completion of the Pub</w:t>
      </w:r>
      <w:r w:rsidR="007D7BE3" w:rsidRPr="00B15D81">
        <w:rPr>
          <w:sz w:val="20"/>
          <w:szCs w:val="20"/>
        </w:rPr>
        <w:t>lic Hearing on the proposed 2019</w:t>
      </w:r>
      <w:r w:rsidRPr="00B15D81">
        <w:rPr>
          <w:sz w:val="20"/>
          <w:szCs w:val="20"/>
        </w:rPr>
        <w:t xml:space="preserve"> town budget, no</w:t>
      </w:r>
      <w:r w:rsidR="007D7BE3" w:rsidRPr="00B15D81">
        <w:rPr>
          <w:sz w:val="20"/>
          <w:szCs w:val="20"/>
        </w:rPr>
        <w:t>ticed above, to approve the 2019</w:t>
      </w:r>
      <w:r w:rsidRPr="00B15D81">
        <w:rPr>
          <w:sz w:val="20"/>
          <w:szCs w:val="20"/>
        </w:rPr>
        <w:t xml:space="preserve"> town </w:t>
      </w:r>
      <w:r w:rsidR="006E06F2" w:rsidRPr="00B15D81">
        <w:rPr>
          <w:sz w:val="20"/>
          <w:szCs w:val="20"/>
        </w:rPr>
        <w:t>tax levy to be collected in 2019</w:t>
      </w:r>
      <w:r w:rsidR="00FC0B9D" w:rsidRPr="00B15D81">
        <w:rPr>
          <w:sz w:val="20"/>
          <w:szCs w:val="20"/>
        </w:rPr>
        <w:t xml:space="preserve"> pursuant to x.</w:t>
      </w:r>
      <w:r w:rsidR="007D7BE3" w:rsidRPr="00B15D81">
        <w:rPr>
          <w:sz w:val="20"/>
          <w:szCs w:val="20"/>
        </w:rPr>
        <w:t>6</w:t>
      </w:r>
      <w:r w:rsidRPr="00B15D81">
        <w:rPr>
          <w:sz w:val="20"/>
          <w:szCs w:val="20"/>
        </w:rPr>
        <w:t xml:space="preserve">0.10(1)(a) of Wis. Stats. </w:t>
      </w:r>
    </w:p>
    <w:p w:rsidR="005A3F87" w:rsidRPr="0068503E" w:rsidRDefault="00A31331" w:rsidP="0052465B">
      <w:pPr>
        <w:pStyle w:val="Default"/>
        <w:numPr>
          <w:ilvl w:val="0"/>
          <w:numId w:val="2"/>
        </w:numPr>
        <w:rPr>
          <w:b/>
          <w:bCs/>
          <w:sz w:val="20"/>
          <w:szCs w:val="20"/>
        </w:rPr>
      </w:pPr>
      <w:r w:rsidRPr="00B15D81">
        <w:rPr>
          <w:b/>
          <w:bCs/>
          <w:sz w:val="20"/>
          <w:szCs w:val="20"/>
        </w:rPr>
        <w:t xml:space="preserve">SPRINGDALE TOWN BOARD </w:t>
      </w:r>
      <w:r w:rsidR="007574E6" w:rsidRPr="00B15D81">
        <w:rPr>
          <w:b/>
          <w:bCs/>
          <w:sz w:val="20"/>
          <w:szCs w:val="20"/>
        </w:rPr>
        <w:t xml:space="preserve">MEETING </w:t>
      </w:r>
      <w:r w:rsidR="007574E6" w:rsidRPr="001D4D9C">
        <w:rPr>
          <w:bCs/>
          <w:sz w:val="20"/>
          <w:szCs w:val="20"/>
        </w:rPr>
        <w:t>The</w:t>
      </w:r>
      <w:r w:rsidR="005A3F87" w:rsidRPr="00B15D81">
        <w:rPr>
          <w:bCs/>
          <w:sz w:val="20"/>
          <w:szCs w:val="20"/>
        </w:rPr>
        <w:t xml:space="preserve"> Town Board meeting will be held immediately following the completion of the Public Hearing/Vote. The only agenda item is to vote on the on the proposed 2019 town budget if approved by the Town Electors.</w:t>
      </w:r>
    </w:p>
    <w:tbl>
      <w:tblPr>
        <w:tblW w:w="10710" w:type="dxa"/>
        <w:tblInd w:w="180" w:type="dxa"/>
        <w:tblLook w:val="04A0" w:firstRow="1" w:lastRow="0" w:firstColumn="1" w:lastColumn="0" w:noHBand="0" w:noVBand="1"/>
      </w:tblPr>
      <w:tblGrid>
        <w:gridCol w:w="6020"/>
        <w:gridCol w:w="1329"/>
        <w:gridCol w:w="1424"/>
        <w:gridCol w:w="1323"/>
        <w:gridCol w:w="614"/>
      </w:tblGrid>
      <w:tr w:rsidR="00343D02" w:rsidRPr="0068503E" w:rsidTr="00E55681">
        <w:trPr>
          <w:trHeight w:val="264"/>
        </w:trPr>
        <w:tc>
          <w:tcPr>
            <w:tcW w:w="6020" w:type="dxa"/>
            <w:shd w:val="clear" w:color="000000" w:fill="C0C0C0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2019 Proposed Budget</w:t>
            </w:r>
          </w:p>
        </w:tc>
        <w:tc>
          <w:tcPr>
            <w:tcW w:w="1326" w:type="dxa"/>
            <w:shd w:val="clear" w:color="000000" w:fill="BFBFBF"/>
            <w:noWrap/>
            <w:vAlign w:val="bottom"/>
            <w:hideMark/>
          </w:tcPr>
          <w:p w:rsidR="00E55681" w:rsidRDefault="00C5784E" w:rsidP="0068402A">
            <w:pPr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2017 </w:t>
            </w:r>
          </w:p>
          <w:p w:rsidR="00C5784E" w:rsidRPr="0068402A" w:rsidRDefault="00C5784E" w:rsidP="0068402A">
            <w:pPr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Actual</w:t>
            </w:r>
          </w:p>
        </w:tc>
        <w:tc>
          <w:tcPr>
            <w:tcW w:w="1424" w:type="dxa"/>
            <w:shd w:val="clear" w:color="000000" w:fill="BFBFBF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2018 Adopted</w:t>
            </w:r>
          </w:p>
        </w:tc>
        <w:tc>
          <w:tcPr>
            <w:tcW w:w="1323" w:type="dxa"/>
            <w:shd w:val="clear" w:color="000000" w:fill="BFBFBF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2019 Proposed</w:t>
            </w:r>
          </w:p>
        </w:tc>
        <w:tc>
          <w:tcPr>
            <w:tcW w:w="617" w:type="dxa"/>
            <w:shd w:val="clear" w:color="000000" w:fill="BFBFBF"/>
          </w:tcPr>
          <w:p w:rsidR="00C5784E" w:rsidRPr="00406ED7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%</w:t>
            </w:r>
          </w:p>
          <w:p w:rsidR="00C5784E" w:rsidRPr="0068402A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406ED7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Chg</w:t>
            </w:r>
            <w:proofErr w:type="spellEnd"/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7574E6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CASH January 1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59,184.94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73,961.18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20,000.00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REVENUES: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B90AA7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AE140B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AE140B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Taxes: General Levy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AE140B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AE140B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526,489.08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AE140B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AE140B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544,171.00</w:t>
            </w:r>
          </w:p>
        </w:tc>
        <w:tc>
          <w:tcPr>
            <w:tcW w:w="1323" w:type="dxa"/>
            <w:shd w:val="clear" w:color="auto" w:fill="E7E6E6" w:themeFill="background2"/>
            <w:noWrap/>
            <w:vAlign w:val="bottom"/>
            <w:hideMark/>
          </w:tcPr>
          <w:p w:rsidR="00C5784E" w:rsidRPr="00AE140B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AE140B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661,124.00</w:t>
            </w:r>
          </w:p>
        </w:tc>
        <w:tc>
          <w:tcPr>
            <w:tcW w:w="617" w:type="dxa"/>
          </w:tcPr>
          <w:p w:rsidR="00C5784E" w:rsidRPr="00A95891" w:rsidRDefault="00A95891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A95891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21.5</w:t>
            </w: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MFL with Tax Payments and DC collected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1,971.09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1000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1,000.00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Special Assessment - Pass Thru Septic charge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6,710.58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Delinquent septic charge collected after taxes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139.42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Intergovernmental Revenue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19,434.22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22,349.13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19,434.22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A95891">
        <w:trPr>
          <w:trHeight w:val="360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(broken down = state shared revenue and transp. aid)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107,920.02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115,412.59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114,863.12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Fire dues, Recycling</w:t>
            </w: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 Grant, Computer Aid, Soldier's grave care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25,840.95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16,000.00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17,596.00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AE04F0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Licenses &amp; Permits (</w:t>
            </w:r>
            <w:proofErr w:type="spellStart"/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incl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</w:t>
            </w:r>
            <w:proofErr w:type="spellEnd"/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 b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uilding p</w:t>
            </w: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ermits in actual-as pass-thru)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62,861.93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3,000.00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3,000.00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Public Charges for Services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4.93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Recycling with taxes and after tax collection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126,764.86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96,196.00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97,150.00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Miscellaneous and Ag Use Value Penalties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9,409.80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2,000.00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1,000.00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TRIP Funds -  project for 2019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15,388.25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14,000.00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Interest Income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3,218.56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Sales/Town Hall Rental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2,208.00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Truck Sale (only 2018)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32,000.00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617" w:type="dxa"/>
          </w:tcPr>
          <w:p w:rsidR="00C5784E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SUBTOTAL REVENUES</w:t>
            </w:r>
          </w:p>
        </w:tc>
        <w:tc>
          <w:tcPr>
            <w:tcW w:w="1326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967,546.63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906,089.90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949,167.34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68402A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TOTAL REVENUES AND CASH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967,546.63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906,089.90</w:t>
            </w:r>
          </w:p>
        </w:tc>
        <w:tc>
          <w:tcPr>
            <w:tcW w:w="1323" w:type="dxa"/>
            <w:shd w:val="clear" w:color="auto" w:fill="E7E6E6" w:themeFill="background2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949,167.34</w:t>
            </w:r>
          </w:p>
        </w:tc>
        <w:tc>
          <w:tcPr>
            <w:tcW w:w="617" w:type="dxa"/>
            <w:shd w:val="clear" w:color="auto" w:fill="auto"/>
          </w:tcPr>
          <w:p w:rsidR="00C5784E" w:rsidRPr="00A95891" w:rsidRDefault="00A95891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A95891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4.75</w:t>
            </w: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EXPENDITURES: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E55681" w:rsidRDefault="00C5784E" w:rsidP="0068503E">
            <w:pPr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2017 </w:t>
            </w:r>
          </w:p>
          <w:p w:rsidR="00C5784E" w:rsidRPr="0068402A" w:rsidRDefault="00C5784E" w:rsidP="0068503E">
            <w:pPr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Actual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2018 Adopted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2019 Proposed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General Government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113,398.31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135,863.24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138,763.24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Public Safety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(Fire, EMS, Building Insp. Supplies)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246,363.82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215,325.00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236,348.00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Public Works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294,633.07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357,025.66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337,433.58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Health &amp; Human Services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9,978.00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11,176.00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12,627.00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Culture, Recreation, Education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4,798.00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4,798.00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5,388.00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Capital Outlay </w:t>
            </w:r>
            <w:r w:rsidRPr="0068402A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</w:t>
            </w:r>
            <w:r w:rsidR="00B90AA7" w:rsidRPr="00B90AA7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(</w:t>
            </w:r>
            <w:r w:rsidRPr="00B90AA7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truck purchase 2018</w:t>
            </w:r>
            <w:r w:rsidR="00B90AA7" w:rsidRPr="00B90AA7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1,700.00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78,000.00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2,500.00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251F55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Debt Service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(2017 Truck; 2019 MHAJFD)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36,640.60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104,512.52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Recycling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128,109.32</w:t>
            </w:r>
          </w:p>
        </w:tc>
        <w:tc>
          <w:tcPr>
            <w:tcW w:w="1424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103,902.00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111,595.00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SUBTOTAL BUDGET EXPENDITURES: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$835,621.12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$906,089.90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949,167.34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1162EC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Pass-Through Expenditures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36,492.80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</w:t>
            </w:r>
          </w:p>
        </w:tc>
        <w:tc>
          <w:tcPr>
            <w:tcW w:w="617" w:type="dxa"/>
          </w:tcPr>
          <w:p w:rsidR="00C5784E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DC6164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EXPENDITURES: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$872,113.92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$906,089.90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949,167.34</w:t>
            </w:r>
          </w:p>
        </w:tc>
        <w:tc>
          <w:tcPr>
            <w:tcW w:w="617" w:type="dxa"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000000" w:fill="FFFFFF"/>
            <w:noWrap/>
            <w:vAlign w:val="bottom"/>
            <w:hideMark/>
          </w:tcPr>
          <w:p w:rsidR="00C5784E" w:rsidRPr="0068402A" w:rsidRDefault="00C5784E" w:rsidP="00DC6164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826C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Cash Balance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95,432.71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826C3">
              <w:rPr>
                <w:rFonts w:eastAsia="Times New Roman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826C3">
              <w:rPr>
                <w:rFonts w:eastAsia="Times New Roman"/>
                <w:color w:val="auto"/>
                <w:sz w:val="20"/>
                <w:szCs w:val="20"/>
              </w:rPr>
              <w:t>0.00</w:t>
            </w:r>
          </w:p>
        </w:tc>
        <w:tc>
          <w:tcPr>
            <w:tcW w:w="617" w:type="dxa"/>
          </w:tcPr>
          <w:p w:rsidR="00C5784E" w:rsidRPr="00E826C3" w:rsidRDefault="00C5784E" w:rsidP="00364CF2">
            <w:pPr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343D02" w:rsidRPr="0068402A" w:rsidTr="00E55681">
        <w:trPr>
          <w:trHeight w:val="264"/>
        </w:trPr>
        <w:tc>
          <w:tcPr>
            <w:tcW w:w="6020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DC6164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TOTAL EXPENDITURES AND CASH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967,546.63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$906,089.90</w:t>
            </w:r>
          </w:p>
        </w:tc>
        <w:tc>
          <w:tcPr>
            <w:tcW w:w="1323" w:type="dxa"/>
            <w:shd w:val="clear" w:color="auto" w:fill="E7E6E6" w:themeFill="background2"/>
            <w:noWrap/>
            <w:vAlign w:val="bottom"/>
            <w:hideMark/>
          </w:tcPr>
          <w:p w:rsidR="00C5784E" w:rsidRPr="0068402A" w:rsidRDefault="00C5784E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68402A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949,167.34</w:t>
            </w:r>
          </w:p>
        </w:tc>
        <w:tc>
          <w:tcPr>
            <w:tcW w:w="617" w:type="dxa"/>
            <w:shd w:val="clear" w:color="auto" w:fill="auto"/>
          </w:tcPr>
          <w:p w:rsidR="00C5784E" w:rsidRPr="0068402A" w:rsidRDefault="00A95891" w:rsidP="00364CF2">
            <w:pPr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4.75</w:t>
            </w:r>
          </w:p>
        </w:tc>
      </w:tr>
    </w:tbl>
    <w:p w:rsidR="0068402A" w:rsidRPr="00245452" w:rsidRDefault="00245452" w:rsidP="00E826C3">
      <w:pPr>
        <w:pStyle w:val="Default"/>
        <w:rPr>
          <w:sz w:val="16"/>
          <w:szCs w:val="16"/>
        </w:rPr>
      </w:pPr>
      <w:r w:rsidRPr="00245452">
        <w:rPr>
          <w:sz w:val="16"/>
          <w:szCs w:val="16"/>
        </w:rPr>
        <w:t>Post 10/</w:t>
      </w:r>
      <w:r w:rsidR="004B28FD">
        <w:rPr>
          <w:sz w:val="16"/>
          <w:szCs w:val="16"/>
        </w:rPr>
        <w:t>26</w:t>
      </w:r>
      <w:r w:rsidRPr="00245452">
        <w:rPr>
          <w:sz w:val="16"/>
          <w:szCs w:val="16"/>
        </w:rPr>
        <w:t xml:space="preserve">/18 </w:t>
      </w:r>
      <w:r w:rsidRPr="00245452">
        <w:rPr>
          <w:sz w:val="16"/>
          <w:szCs w:val="16"/>
        </w:rPr>
        <w:tab/>
        <w:t xml:space="preserve">Publish </w:t>
      </w:r>
      <w:r w:rsidRPr="00A6673A">
        <w:rPr>
          <w:sz w:val="16"/>
          <w:szCs w:val="16"/>
        </w:rPr>
        <w:t>11</w:t>
      </w:r>
      <w:r w:rsidRPr="00245452">
        <w:rPr>
          <w:sz w:val="16"/>
          <w:szCs w:val="16"/>
        </w:rPr>
        <w:t>/1/18</w:t>
      </w:r>
      <w:r w:rsidRPr="00245452">
        <w:rPr>
          <w:sz w:val="16"/>
          <w:szCs w:val="16"/>
        </w:rPr>
        <w:tab/>
        <w:t>Susan Duerst Severson, Town Clerk</w:t>
      </w:r>
      <w:r w:rsidR="001E6F86">
        <w:rPr>
          <w:sz w:val="16"/>
          <w:szCs w:val="16"/>
        </w:rPr>
        <w:tab/>
      </w:r>
      <w:r w:rsidR="001E6F86">
        <w:rPr>
          <w:sz w:val="16"/>
          <w:szCs w:val="16"/>
        </w:rPr>
        <w:tab/>
      </w:r>
      <w:r w:rsidR="001E6F86">
        <w:rPr>
          <w:sz w:val="16"/>
          <w:szCs w:val="16"/>
        </w:rPr>
        <w:tab/>
      </w:r>
      <w:r w:rsidR="001E6F86">
        <w:rPr>
          <w:sz w:val="16"/>
          <w:szCs w:val="16"/>
        </w:rPr>
        <w:tab/>
      </w:r>
      <w:r w:rsidR="001E6F86">
        <w:rPr>
          <w:sz w:val="16"/>
          <w:szCs w:val="16"/>
        </w:rPr>
        <w:tab/>
      </w:r>
      <w:r w:rsidR="001E6F86">
        <w:rPr>
          <w:sz w:val="16"/>
          <w:szCs w:val="16"/>
        </w:rPr>
        <w:tab/>
      </w:r>
      <w:r w:rsidR="001E6F86">
        <w:rPr>
          <w:sz w:val="16"/>
          <w:szCs w:val="16"/>
        </w:rPr>
        <w:tab/>
        <w:t>10/26/18V</w:t>
      </w:r>
      <w:bookmarkStart w:id="0" w:name="_GoBack"/>
      <w:bookmarkEnd w:id="0"/>
    </w:p>
    <w:sectPr w:rsidR="0068402A" w:rsidRPr="00245452" w:rsidSect="009605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A21C8"/>
    <w:multiLevelType w:val="hybridMultilevel"/>
    <w:tmpl w:val="0568D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013B"/>
    <w:multiLevelType w:val="hybridMultilevel"/>
    <w:tmpl w:val="A8FEB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CF"/>
    <w:rsid w:val="000B103F"/>
    <w:rsid w:val="00115E5C"/>
    <w:rsid w:val="001162EC"/>
    <w:rsid w:val="001A66EE"/>
    <w:rsid w:val="001D4D9C"/>
    <w:rsid w:val="001D7F80"/>
    <w:rsid w:val="001E6F86"/>
    <w:rsid w:val="00225178"/>
    <w:rsid w:val="00245452"/>
    <w:rsid w:val="00251F55"/>
    <w:rsid w:val="00343D02"/>
    <w:rsid w:val="003453E1"/>
    <w:rsid w:val="00364CF2"/>
    <w:rsid w:val="003A4EC0"/>
    <w:rsid w:val="003B55CF"/>
    <w:rsid w:val="00406ED7"/>
    <w:rsid w:val="00420527"/>
    <w:rsid w:val="004B28FD"/>
    <w:rsid w:val="004C67A4"/>
    <w:rsid w:val="005A3F87"/>
    <w:rsid w:val="005B7A78"/>
    <w:rsid w:val="005C605C"/>
    <w:rsid w:val="005D6522"/>
    <w:rsid w:val="00657CC0"/>
    <w:rsid w:val="006656E7"/>
    <w:rsid w:val="0068402A"/>
    <w:rsid w:val="0068503E"/>
    <w:rsid w:val="0069225C"/>
    <w:rsid w:val="006959E0"/>
    <w:rsid w:val="006A4C0D"/>
    <w:rsid w:val="006B2A05"/>
    <w:rsid w:val="006E06F2"/>
    <w:rsid w:val="006F1DFD"/>
    <w:rsid w:val="00702CE5"/>
    <w:rsid w:val="007574E6"/>
    <w:rsid w:val="007D7BE3"/>
    <w:rsid w:val="007F3CB2"/>
    <w:rsid w:val="00892D1B"/>
    <w:rsid w:val="00895FD8"/>
    <w:rsid w:val="008D4B50"/>
    <w:rsid w:val="009039BE"/>
    <w:rsid w:val="00916A4E"/>
    <w:rsid w:val="0096057F"/>
    <w:rsid w:val="009B4C60"/>
    <w:rsid w:val="009F3B56"/>
    <w:rsid w:val="00A31331"/>
    <w:rsid w:val="00A32624"/>
    <w:rsid w:val="00A6673A"/>
    <w:rsid w:val="00A7399E"/>
    <w:rsid w:val="00A95891"/>
    <w:rsid w:val="00AA100C"/>
    <w:rsid w:val="00AC0D89"/>
    <w:rsid w:val="00AD7952"/>
    <w:rsid w:val="00AE04F0"/>
    <w:rsid w:val="00AE140B"/>
    <w:rsid w:val="00AF702C"/>
    <w:rsid w:val="00B15D81"/>
    <w:rsid w:val="00B50D74"/>
    <w:rsid w:val="00B76774"/>
    <w:rsid w:val="00B90AA7"/>
    <w:rsid w:val="00BA0B04"/>
    <w:rsid w:val="00BF3864"/>
    <w:rsid w:val="00C5784E"/>
    <w:rsid w:val="00C678F1"/>
    <w:rsid w:val="00C73F8A"/>
    <w:rsid w:val="00CC4CA5"/>
    <w:rsid w:val="00CD0371"/>
    <w:rsid w:val="00CE53D7"/>
    <w:rsid w:val="00D20033"/>
    <w:rsid w:val="00D460F8"/>
    <w:rsid w:val="00DC1BA7"/>
    <w:rsid w:val="00DC6164"/>
    <w:rsid w:val="00DD42F8"/>
    <w:rsid w:val="00E11D99"/>
    <w:rsid w:val="00E55681"/>
    <w:rsid w:val="00E60698"/>
    <w:rsid w:val="00E826C3"/>
    <w:rsid w:val="00EE1505"/>
    <w:rsid w:val="00EF4814"/>
    <w:rsid w:val="00F513A0"/>
    <w:rsid w:val="00F61F9A"/>
    <w:rsid w:val="00F66BE7"/>
    <w:rsid w:val="00F72A6C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4C0B3-A2F2-4233-85E1-65CEA01A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656E7"/>
    <w:rPr>
      <w:rFonts w:eastAsiaTheme="majorEastAsia"/>
      <w:b/>
      <w:caps/>
    </w:rPr>
  </w:style>
  <w:style w:type="paragraph" w:styleId="EnvelopeAddress">
    <w:name w:val="envelope address"/>
    <w:basedOn w:val="Normal"/>
    <w:uiPriority w:val="99"/>
    <w:semiHidden/>
    <w:unhideWhenUsed/>
    <w:rsid w:val="00916A4E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customStyle="1" w:styleId="Default">
    <w:name w:val="Default"/>
    <w:rsid w:val="003B55CF"/>
    <w:pPr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81</cp:revision>
  <cp:lastPrinted>2018-10-26T17:58:00Z</cp:lastPrinted>
  <dcterms:created xsi:type="dcterms:W3CDTF">2018-10-24T16:01:00Z</dcterms:created>
  <dcterms:modified xsi:type="dcterms:W3CDTF">2018-10-26T18:56:00Z</dcterms:modified>
</cp:coreProperties>
</file>